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jc w:val="center"/>
        <w:rPr>
          <w:rFonts w:ascii="Times New Roman" w:hAnsi="Times New Roman"/>
          <w:sz w:val="28"/>
        </w:rPr>
      </w:pPr>
      <w:r>
        <w:rPr>
          <w:rFonts w:ascii="Times New Roman" w:hAnsi="Times New Roman"/>
          <w:sz w:val="28"/>
        </w:rPr>
        <w:t>ДЕПАРТАМЕНТ ПОТРЕБИТЕЛЬСКОЙ СФЕРЫ</w:t>
      </w:r>
    </w:p>
    <w:p w14:paraId="02000000">
      <w:pPr>
        <w:pStyle w:val="Style_1"/>
        <w:ind/>
        <w:jc w:val="center"/>
        <w:rPr>
          <w:rFonts w:ascii="Times New Roman" w:hAnsi="Times New Roman"/>
          <w:sz w:val="28"/>
        </w:rPr>
      </w:pPr>
      <w:r>
        <w:rPr>
          <w:rFonts w:ascii="Times New Roman" w:hAnsi="Times New Roman"/>
          <w:sz w:val="28"/>
        </w:rPr>
        <w:t>И РЕГУЛИРОВАНИЯ РЫНКА АЛКОГОЛ</w:t>
      </w:r>
      <w:bookmarkStart w:id="1" w:name="_GoBack"/>
      <w:bookmarkEnd w:id="1"/>
      <w:r>
        <w:rPr>
          <w:rFonts w:ascii="Times New Roman" w:hAnsi="Times New Roman"/>
          <w:sz w:val="28"/>
        </w:rPr>
        <w:t>Я</w:t>
      </w:r>
    </w:p>
    <w:p w14:paraId="03000000">
      <w:pPr>
        <w:pStyle w:val="Style_1"/>
        <w:ind/>
        <w:jc w:val="center"/>
        <w:rPr>
          <w:rFonts w:ascii="Times New Roman" w:hAnsi="Times New Roman"/>
          <w:sz w:val="28"/>
        </w:rPr>
      </w:pPr>
      <w:r>
        <w:rPr>
          <w:rFonts w:ascii="Times New Roman" w:hAnsi="Times New Roman"/>
          <w:sz w:val="28"/>
        </w:rPr>
        <w:t>КРАСНОДАРСКОГО КРАЯ</w:t>
      </w:r>
    </w:p>
    <w:p w14:paraId="04000000">
      <w:pPr>
        <w:pStyle w:val="Style_1"/>
        <w:ind/>
        <w:jc w:val="center"/>
        <w:rPr>
          <w:rFonts w:ascii="Times New Roman" w:hAnsi="Times New Roman"/>
          <w:sz w:val="28"/>
        </w:rPr>
      </w:pPr>
    </w:p>
    <w:p w14:paraId="05000000">
      <w:pPr>
        <w:pStyle w:val="Style_1"/>
        <w:ind/>
        <w:jc w:val="center"/>
        <w:rPr>
          <w:rFonts w:ascii="Times New Roman" w:hAnsi="Times New Roman"/>
          <w:sz w:val="28"/>
        </w:rPr>
      </w:pPr>
      <w:r>
        <w:rPr>
          <w:rFonts w:ascii="Times New Roman" w:hAnsi="Times New Roman"/>
          <w:sz w:val="28"/>
        </w:rPr>
        <w:t>ПРИКАЗ</w:t>
      </w:r>
    </w:p>
    <w:p w14:paraId="06000000">
      <w:pPr>
        <w:pStyle w:val="Style_1"/>
        <w:ind/>
        <w:jc w:val="center"/>
        <w:rPr>
          <w:rFonts w:ascii="Times New Roman" w:hAnsi="Times New Roman"/>
          <w:sz w:val="28"/>
        </w:rPr>
      </w:pPr>
      <w:r>
        <w:rPr>
          <w:rFonts w:ascii="Times New Roman" w:hAnsi="Times New Roman"/>
          <w:sz w:val="28"/>
        </w:rPr>
        <w:t>от 21 ноября 2022 г. N 211</w:t>
      </w:r>
    </w:p>
    <w:p w14:paraId="07000000">
      <w:pPr>
        <w:pStyle w:val="Style_1"/>
        <w:ind/>
        <w:jc w:val="center"/>
        <w:rPr>
          <w:rFonts w:ascii="Times New Roman" w:hAnsi="Times New Roman"/>
          <w:sz w:val="28"/>
        </w:rPr>
      </w:pPr>
    </w:p>
    <w:p w14:paraId="08000000">
      <w:pPr>
        <w:pStyle w:val="Style_1"/>
        <w:ind/>
        <w:jc w:val="center"/>
        <w:rPr>
          <w:rFonts w:ascii="Times New Roman" w:hAnsi="Times New Roman"/>
          <w:sz w:val="28"/>
        </w:rPr>
      </w:pPr>
      <w:r>
        <w:rPr>
          <w:rFonts w:ascii="Times New Roman" w:hAnsi="Times New Roman"/>
          <w:sz w:val="28"/>
        </w:rPr>
        <w:t>О ВНЕСЕНИИ ИЗМЕНЕНИЯ</w:t>
      </w:r>
    </w:p>
    <w:p w14:paraId="09000000">
      <w:pPr>
        <w:pStyle w:val="Style_1"/>
        <w:ind/>
        <w:jc w:val="center"/>
        <w:rPr>
          <w:rFonts w:ascii="Times New Roman" w:hAnsi="Times New Roman"/>
          <w:sz w:val="28"/>
        </w:rPr>
      </w:pPr>
      <w:r>
        <w:rPr>
          <w:rFonts w:ascii="Times New Roman" w:hAnsi="Times New Roman"/>
          <w:sz w:val="28"/>
        </w:rPr>
        <w:t>В ПРИКАЗ ДЕПАРТАМЕНТА ПОТРЕБИТЕЛЬСКОЙ СФЕРЫ</w:t>
      </w:r>
    </w:p>
    <w:p w14:paraId="0A000000">
      <w:pPr>
        <w:pStyle w:val="Style_1"/>
        <w:ind/>
        <w:jc w:val="center"/>
        <w:rPr>
          <w:rFonts w:ascii="Times New Roman" w:hAnsi="Times New Roman"/>
          <w:sz w:val="28"/>
        </w:rPr>
      </w:pPr>
      <w:r>
        <w:rPr>
          <w:rFonts w:ascii="Times New Roman" w:hAnsi="Times New Roman"/>
          <w:sz w:val="28"/>
        </w:rPr>
        <w:t>И РЕГУЛИРОВАНИЯ РЫНКА АЛКОГОЛЯ КРАСНОДАРСКОГО КРАЯ</w:t>
      </w:r>
    </w:p>
    <w:p w14:paraId="0B000000">
      <w:pPr>
        <w:pStyle w:val="Style_1"/>
        <w:ind/>
        <w:jc w:val="center"/>
        <w:rPr>
          <w:rFonts w:ascii="Times New Roman" w:hAnsi="Times New Roman"/>
          <w:sz w:val="28"/>
        </w:rPr>
      </w:pPr>
      <w:r>
        <w:rPr>
          <w:rFonts w:ascii="Times New Roman" w:hAnsi="Times New Roman"/>
          <w:sz w:val="28"/>
        </w:rPr>
        <w:t>ОТ 19 АПРЕЛЯ 2018 Г. N 42 "ОБ УТВЕРЖДЕНИИ МЕТОДИЧЕСКИХ</w:t>
      </w:r>
    </w:p>
    <w:p w14:paraId="0C000000">
      <w:pPr>
        <w:pStyle w:val="Style_1"/>
        <w:ind/>
        <w:jc w:val="center"/>
        <w:rPr>
          <w:rFonts w:ascii="Times New Roman" w:hAnsi="Times New Roman"/>
          <w:sz w:val="28"/>
        </w:rPr>
      </w:pPr>
      <w:r>
        <w:rPr>
          <w:rFonts w:ascii="Times New Roman" w:hAnsi="Times New Roman"/>
          <w:sz w:val="28"/>
        </w:rPr>
        <w:t>РЕКОМЕНДАЦИЙ ПО ОБЕСПЕЧЕНИЮ ДОСТУПНОСТИ ДЛЯ ИНВАЛИДОВ</w:t>
      </w:r>
    </w:p>
    <w:p w14:paraId="0D000000">
      <w:pPr>
        <w:pStyle w:val="Style_1"/>
        <w:ind/>
        <w:jc w:val="center"/>
        <w:rPr>
          <w:rFonts w:ascii="Times New Roman" w:hAnsi="Times New Roman"/>
          <w:sz w:val="28"/>
        </w:rPr>
      </w:pPr>
      <w:r>
        <w:rPr>
          <w:rFonts w:ascii="Times New Roman" w:hAnsi="Times New Roman"/>
          <w:sz w:val="28"/>
        </w:rPr>
        <w:t>И ДРУГИХ МАЛОМОБИЛЬНЫХ ГРАЖДАН ОБЪЕКТОВ РОЗНИЧНОЙ ТОРГОВЛИ,</w:t>
      </w:r>
    </w:p>
    <w:p w14:paraId="0E000000">
      <w:pPr>
        <w:pStyle w:val="Style_1"/>
        <w:ind/>
        <w:jc w:val="center"/>
        <w:rPr>
          <w:rFonts w:ascii="Times New Roman" w:hAnsi="Times New Roman"/>
          <w:sz w:val="28"/>
        </w:rPr>
      </w:pPr>
      <w:r>
        <w:rPr>
          <w:rFonts w:ascii="Times New Roman" w:hAnsi="Times New Roman"/>
          <w:sz w:val="28"/>
        </w:rPr>
        <w:t>ОБЩЕСТВЕННОГО ПИТАНИЯ И БЫТОВОГО ОБСЛУЖИВАНИЯ</w:t>
      </w:r>
    </w:p>
    <w:p w14:paraId="0F000000">
      <w:pPr>
        <w:pStyle w:val="Style_1"/>
        <w:ind/>
        <w:jc w:val="center"/>
        <w:rPr>
          <w:rFonts w:ascii="Times New Roman" w:hAnsi="Times New Roman"/>
          <w:sz w:val="28"/>
        </w:rPr>
      </w:pPr>
      <w:r>
        <w:rPr>
          <w:rFonts w:ascii="Times New Roman" w:hAnsi="Times New Roman"/>
          <w:sz w:val="28"/>
        </w:rPr>
        <w:t>И ПРЕДОСТАВЛЯЕМЫХ УСЛУГ В СФЕРЕ РОЗНИЧНОЙ ТОРГОВЛИ,</w:t>
      </w:r>
    </w:p>
    <w:p w14:paraId="10000000">
      <w:pPr>
        <w:pStyle w:val="Style_1"/>
        <w:ind/>
        <w:jc w:val="center"/>
        <w:rPr>
          <w:rFonts w:ascii="Times New Roman" w:hAnsi="Times New Roman"/>
          <w:sz w:val="28"/>
        </w:rPr>
      </w:pPr>
      <w:r>
        <w:rPr>
          <w:rFonts w:ascii="Times New Roman" w:hAnsi="Times New Roman"/>
          <w:sz w:val="28"/>
        </w:rPr>
        <w:t>ОБЩЕСТВЕННОГО ПИТАНИЯ И БЫТОВОГО ОБСЛУЖИВАНИЯ, А ТАКЖЕ</w:t>
      </w:r>
    </w:p>
    <w:p w14:paraId="11000000">
      <w:pPr>
        <w:pStyle w:val="Style_1"/>
        <w:ind/>
        <w:jc w:val="center"/>
        <w:rPr>
          <w:rFonts w:ascii="Times New Roman" w:hAnsi="Times New Roman"/>
          <w:sz w:val="28"/>
        </w:rPr>
      </w:pPr>
      <w:r>
        <w:rPr>
          <w:rFonts w:ascii="Times New Roman" w:hAnsi="Times New Roman"/>
          <w:sz w:val="28"/>
        </w:rPr>
        <w:t>ОКАЗАНИЯ ИМ ПРИ ЭТОМ НЕОБХОДИМОЙ ПОМОЩИ"</w:t>
      </w:r>
    </w:p>
    <w:p w14:paraId="12000000">
      <w:pPr>
        <w:pStyle w:val="Style_2"/>
        <w:ind/>
        <w:jc w:val="both"/>
        <w:rPr>
          <w:rFonts w:ascii="Times New Roman" w:hAnsi="Times New Roman"/>
          <w:sz w:val="28"/>
        </w:rPr>
      </w:pPr>
    </w:p>
    <w:p w14:paraId="13000000">
      <w:pPr>
        <w:pStyle w:val="Style_2"/>
        <w:ind w:firstLine="540" w:left="0"/>
        <w:jc w:val="both"/>
        <w:rPr>
          <w:rFonts w:ascii="Times New Roman" w:hAnsi="Times New Roman"/>
          <w:sz w:val="28"/>
        </w:rPr>
      </w:pPr>
      <w:r>
        <w:rPr>
          <w:rFonts w:ascii="Times New Roman" w:hAnsi="Times New Roman"/>
          <w:sz w:val="28"/>
        </w:rPr>
        <w:t xml:space="preserve">В рамках реализации плана мероприятий, направленных на обеспечение доступности для инвалидов и других маломобильных граждан объектов розничной торговли, общественного питания и </w:t>
      </w:r>
      <w:r>
        <w:rPr>
          <w:rFonts w:ascii="Times New Roman" w:hAnsi="Times New Roman"/>
          <w:sz w:val="28"/>
        </w:rPr>
        <w:t>бытового обслуживания</w:t>
      </w:r>
      <w:r>
        <w:rPr>
          <w:rFonts w:ascii="Times New Roman" w:hAnsi="Times New Roman"/>
          <w:sz w:val="28"/>
        </w:rPr>
        <w:t xml:space="preserve"> и предоставляемых услуг в сфере розничной торговли, общественного питания и бытового обслуживания, оказание им при этом необходимой помощи, в целях приведения в соответствие с действующим законодательством приказываю:</w:t>
      </w:r>
    </w:p>
    <w:p w14:paraId="14000000">
      <w:pPr>
        <w:pStyle w:val="Style_2"/>
        <w:spacing w:after="1"/>
        <w:ind/>
        <w:rPr>
          <w:rFonts w:ascii="Times New Roman" w:hAnsi="Times New Roman"/>
          <w:sz w:val="28"/>
        </w:rPr>
      </w:pPr>
    </w:p>
    <w:p w14:paraId="15000000">
      <w:pPr>
        <w:pStyle w:val="Style_2"/>
        <w:spacing w:before="280"/>
        <w:ind w:firstLine="540" w:left="0"/>
        <w:jc w:val="both"/>
        <w:rPr>
          <w:rFonts w:ascii="Times New Roman" w:hAnsi="Times New Roman"/>
          <w:sz w:val="28"/>
        </w:rPr>
      </w:pPr>
      <w:r>
        <w:rPr>
          <w:rFonts w:ascii="Times New Roman" w:hAnsi="Times New Roman"/>
          <w:sz w:val="28"/>
        </w:rPr>
        <w:t xml:space="preserve">1. Внести изменение в </w:t>
      </w:r>
      <w:r>
        <w:rPr>
          <w:rFonts w:ascii="Times New Roman" w:hAnsi="Times New Roman"/>
          <w:color w:val="0000FF"/>
          <w:sz w:val="28"/>
        </w:rPr>
        <w:fldChar w:fldCharType="begin"/>
      </w:r>
      <w:r>
        <w:rPr>
          <w:rFonts w:ascii="Times New Roman" w:hAnsi="Times New Roman"/>
          <w:color w:val="0000FF"/>
          <w:sz w:val="28"/>
        </w:rPr>
        <w:instrText>HYPERLINK "consultantplus://offline/ref=49EAFA6C36B86BA1BAA5221D20F70ED63124757E88A034906E979160EFDB5AB4114E3186C5DB094A282CFA1BABA929E0DA7AO8J"</w:instrText>
      </w:r>
      <w:r>
        <w:rPr>
          <w:rFonts w:ascii="Times New Roman" w:hAnsi="Times New Roman"/>
          <w:color w:val="0000FF"/>
          <w:sz w:val="28"/>
        </w:rPr>
        <w:fldChar w:fldCharType="separate"/>
      </w:r>
      <w:r>
        <w:rPr>
          <w:rFonts w:ascii="Times New Roman" w:hAnsi="Times New Roman"/>
          <w:color w:val="0000FF"/>
          <w:sz w:val="28"/>
        </w:rPr>
        <w:t>приказ</w:t>
      </w:r>
      <w:r>
        <w:rPr>
          <w:rFonts w:ascii="Times New Roman" w:hAnsi="Times New Roman"/>
          <w:color w:val="0000FF"/>
          <w:sz w:val="28"/>
        </w:rPr>
        <w:fldChar w:fldCharType="end"/>
      </w:r>
      <w:r>
        <w:rPr>
          <w:rFonts w:ascii="Times New Roman" w:hAnsi="Times New Roman"/>
          <w:sz w:val="28"/>
        </w:rPr>
        <w:t xml:space="preserve"> департамента потребительской сферы и регулирования рынка алкоголя Краснодарского края от 19 апреля 2018 г. N 42 "Об утверждении Методических рекомендаций по обеспечению доступности для инвалидов и других маломобильных граждан объектов розничной торговли, общественного питания и бытового обслуживания и предоставляемых услуг в сфере розничной торговли, общественного питания </w:t>
      </w:r>
      <w:r>
        <w:rPr>
          <w:rFonts w:ascii="Times New Roman" w:hAnsi="Times New Roman"/>
          <w:sz w:val="28"/>
        </w:rPr>
        <w:t xml:space="preserve">и бытового обслуживания, а также оказания им при этом необходимой помощи", изложив </w:t>
      </w:r>
      <w:r>
        <w:rPr>
          <w:rFonts w:ascii="Times New Roman" w:hAnsi="Times New Roman"/>
          <w:color w:val="0000FF"/>
          <w:sz w:val="28"/>
        </w:rPr>
        <w:fldChar w:fldCharType="begin"/>
      </w:r>
      <w:r>
        <w:rPr>
          <w:rFonts w:ascii="Times New Roman" w:hAnsi="Times New Roman"/>
          <w:color w:val="0000FF"/>
          <w:sz w:val="28"/>
        </w:rPr>
        <w:instrText>HYPERLINK "consultantplus://offline/ref=49EAFA6C36B86BA1BAA5221D20F70ED63124757E88A034906E979160EFDB5AB4114E3186D7DB5146282DE41FACBC7FB19CFE4805D24FA3DA65F2617D78OCJ"</w:instrText>
      </w:r>
      <w:r>
        <w:rPr>
          <w:rFonts w:ascii="Times New Roman" w:hAnsi="Times New Roman"/>
          <w:color w:val="0000FF"/>
          <w:sz w:val="28"/>
        </w:rPr>
        <w:fldChar w:fldCharType="separate"/>
      </w:r>
      <w:r>
        <w:rPr>
          <w:rFonts w:ascii="Times New Roman" w:hAnsi="Times New Roman"/>
          <w:color w:val="0000FF"/>
          <w:sz w:val="28"/>
        </w:rPr>
        <w:t>части 3</w:t>
      </w:r>
      <w:r>
        <w:rPr>
          <w:rFonts w:ascii="Times New Roman" w:hAnsi="Times New Roman"/>
          <w:color w:val="0000FF"/>
          <w:sz w:val="28"/>
        </w:rPr>
        <w:fldChar w:fldCharType="end"/>
      </w:r>
      <w:r>
        <w:rPr>
          <w:rFonts w:ascii="Times New Roman" w:hAnsi="Times New Roman"/>
          <w:sz w:val="28"/>
        </w:rPr>
        <w:t xml:space="preserve"> - </w:t>
      </w:r>
      <w:r>
        <w:rPr>
          <w:rFonts w:ascii="Times New Roman" w:hAnsi="Times New Roman"/>
          <w:color w:val="0000FF"/>
          <w:sz w:val="28"/>
        </w:rPr>
        <w:fldChar w:fldCharType="begin"/>
      </w:r>
      <w:r>
        <w:rPr>
          <w:rFonts w:ascii="Times New Roman" w:hAnsi="Times New Roman"/>
          <w:color w:val="0000FF"/>
          <w:sz w:val="28"/>
        </w:rPr>
        <w:instrText>HYPERLINK "consultantplus://offline/ref=49EAFA6C36B86BA1BAA5221D20F70ED63124757E88A034906E979160EFDB5AB4114E3186D7DB5146282DE41EAEBC7FB19CFE4805D24FA3DA65F2617D78OCJ"</w:instrText>
      </w:r>
      <w:r>
        <w:rPr>
          <w:rFonts w:ascii="Times New Roman" w:hAnsi="Times New Roman"/>
          <w:color w:val="0000FF"/>
          <w:sz w:val="28"/>
        </w:rPr>
        <w:fldChar w:fldCharType="separate"/>
      </w:r>
      <w:r>
        <w:rPr>
          <w:rFonts w:ascii="Times New Roman" w:hAnsi="Times New Roman"/>
          <w:color w:val="0000FF"/>
          <w:sz w:val="28"/>
        </w:rPr>
        <w:t>4</w:t>
      </w:r>
      <w:r>
        <w:rPr>
          <w:rFonts w:ascii="Times New Roman" w:hAnsi="Times New Roman"/>
          <w:color w:val="0000FF"/>
          <w:sz w:val="28"/>
        </w:rPr>
        <w:fldChar w:fldCharType="end"/>
      </w:r>
      <w:r>
        <w:rPr>
          <w:rFonts w:ascii="Times New Roman" w:hAnsi="Times New Roman"/>
          <w:sz w:val="28"/>
        </w:rPr>
        <w:t xml:space="preserve"> в новой редакции:</w:t>
      </w:r>
    </w:p>
    <w:p w14:paraId="16000000">
      <w:pPr>
        <w:pStyle w:val="Style_2"/>
        <w:ind/>
        <w:jc w:val="both"/>
        <w:rPr>
          <w:rFonts w:ascii="Times New Roman" w:hAnsi="Times New Roman"/>
          <w:sz w:val="28"/>
        </w:rPr>
      </w:pPr>
    </w:p>
    <w:p w14:paraId="17000000">
      <w:pPr>
        <w:pStyle w:val="Style_2"/>
        <w:ind/>
        <w:jc w:val="center"/>
        <w:rPr>
          <w:rFonts w:ascii="Times New Roman" w:hAnsi="Times New Roman"/>
          <w:sz w:val="28"/>
        </w:rPr>
      </w:pPr>
      <w:r>
        <w:rPr>
          <w:rFonts w:ascii="Times New Roman" w:hAnsi="Times New Roman"/>
          <w:sz w:val="28"/>
        </w:rPr>
        <w:t>"3. Оснащение помещений объектов розничной торговли</w:t>
      </w:r>
    </w:p>
    <w:p w14:paraId="18000000">
      <w:pPr>
        <w:pStyle w:val="Style_2"/>
        <w:ind/>
        <w:jc w:val="center"/>
        <w:rPr>
          <w:rFonts w:ascii="Times New Roman" w:hAnsi="Times New Roman"/>
          <w:sz w:val="28"/>
        </w:rPr>
      </w:pPr>
      <w:r>
        <w:rPr>
          <w:rFonts w:ascii="Times New Roman" w:hAnsi="Times New Roman"/>
          <w:sz w:val="28"/>
        </w:rPr>
        <w:t>приспособлениями и оборудованием для пользования инвалидами</w:t>
      </w:r>
    </w:p>
    <w:p w14:paraId="19000000">
      <w:pPr>
        <w:pStyle w:val="Style_2"/>
        <w:ind/>
        <w:jc w:val="center"/>
        <w:rPr>
          <w:rFonts w:ascii="Times New Roman" w:hAnsi="Times New Roman"/>
          <w:sz w:val="28"/>
        </w:rPr>
      </w:pPr>
      <w:r>
        <w:rPr>
          <w:rFonts w:ascii="Times New Roman" w:hAnsi="Times New Roman"/>
          <w:sz w:val="28"/>
        </w:rPr>
        <w:t>и другими маломобильными гражданами</w:t>
      </w:r>
    </w:p>
    <w:p w14:paraId="1A000000">
      <w:pPr>
        <w:pStyle w:val="Style_2"/>
        <w:ind/>
        <w:jc w:val="both"/>
        <w:rPr>
          <w:rFonts w:ascii="Times New Roman" w:hAnsi="Times New Roman"/>
          <w:sz w:val="28"/>
        </w:rPr>
      </w:pPr>
    </w:p>
    <w:p w14:paraId="1B000000">
      <w:pPr>
        <w:pStyle w:val="Style_2"/>
        <w:ind w:firstLine="540" w:left="0"/>
        <w:jc w:val="both"/>
        <w:rPr>
          <w:rFonts w:ascii="Times New Roman" w:hAnsi="Times New Roman"/>
          <w:sz w:val="28"/>
        </w:rPr>
      </w:pPr>
      <w:r>
        <w:rPr>
          <w:rFonts w:ascii="Times New Roman" w:hAnsi="Times New Roman"/>
          <w:sz w:val="28"/>
        </w:rPr>
        <w:t>Комплектация и расстановка оборудования в торговых залах должна быть рассчитана на обслуживание лиц, передвигающихся на креслах-колясках самостоятельно и с сопровождающими, инвалидов на костылях, а также инвалидов по зрению. Столы, прилавки, расчетные плоскости кассовых кабин следует располагать на высоте, не превышающей 0,8 - 0,85 м от уровня пола.</w:t>
      </w:r>
    </w:p>
    <w:p w14:paraId="1C000000">
      <w:pPr>
        <w:pStyle w:val="Style_2"/>
        <w:spacing w:before="220"/>
        <w:ind w:firstLine="540" w:left="0"/>
        <w:jc w:val="both"/>
        <w:rPr>
          <w:rFonts w:ascii="Times New Roman" w:hAnsi="Times New Roman"/>
          <w:sz w:val="28"/>
        </w:rPr>
      </w:pPr>
      <w:r>
        <w:rPr>
          <w:rFonts w:ascii="Times New Roman" w:hAnsi="Times New Roman"/>
          <w:sz w:val="28"/>
        </w:rPr>
        <w:t>Максимальная глубина полок (при подъезде вплотную) не должна быть более 0,5 м.</w:t>
      </w:r>
    </w:p>
    <w:p w14:paraId="1D000000">
      <w:pPr>
        <w:pStyle w:val="Style_2"/>
        <w:spacing w:before="220"/>
        <w:ind w:firstLine="540" w:left="0"/>
        <w:jc w:val="both"/>
        <w:rPr>
          <w:rFonts w:ascii="Times New Roman" w:hAnsi="Times New Roman"/>
          <w:sz w:val="28"/>
        </w:rPr>
      </w:pPr>
      <w:r>
        <w:rPr>
          <w:rFonts w:ascii="Times New Roman" w:hAnsi="Times New Roman"/>
          <w:sz w:val="28"/>
        </w:rPr>
        <w:t>В тех торговых залах, где для покупателей предусмотрены полки высотой более 0,9 м, следует обеспечить дополнительные полки или часть основного прилавка пониженной высоты от 0,7 до 0,8 - 0,85 м от уровня пола.</w:t>
      </w:r>
    </w:p>
    <w:p w14:paraId="1E000000">
      <w:pPr>
        <w:pStyle w:val="Style_2"/>
        <w:spacing w:before="220"/>
        <w:ind w:firstLine="540" w:left="0"/>
        <w:jc w:val="both"/>
        <w:rPr>
          <w:rFonts w:ascii="Times New Roman" w:hAnsi="Times New Roman"/>
          <w:sz w:val="28"/>
        </w:rPr>
      </w:pPr>
      <w:r>
        <w:rPr>
          <w:rFonts w:ascii="Times New Roman" w:hAnsi="Times New Roman"/>
          <w:sz w:val="28"/>
        </w:rPr>
        <w:t>Все размеры проходов (кроме одностороннего) должны обеспечивать возможность полного разворота на 360 градусов, а также фронтального обслуживания инвалидов на кресле-коляске вместе с сопровождающими.</w:t>
      </w:r>
    </w:p>
    <w:p w14:paraId="1F000000">
      <w:pPr>
        <w:pStyle w:val="Style_2"/>
        <w:spacing w:before="220"/>
        <w:ind w:firstLine="540" w:left="0"/>
        <w:jc w:val="both"/>
        <w:rPr>
          <w:rFonts w:ascii="Times New Roman" w:hAnsi="Times New Roman"/>
          <w:sz w:val="28"/>
        </w:rPr>
      </w:pPr>
      <w:r>
        <w:rPr>
          <w:rFonts w:ascii="Times New Roman" w:hAnsi="Times New Roman"/>
          <w:sz w:val="28"/>
        </w:rPr>
        <w:t>Ширина прохода для универсамов, супермаркетов и оптовых рынков (торговая площадь свыше 650 м</w:t>
      </w:r>
      <w:r>
        <w:rPr>
          <w:rFonts w:ascii="Times New Roman" w:hAnsi="Times New Roman"/>
          <w:sz w:val="28"/>
          <w:vertAlign w:val="superscript"/>
        </w:rPr>
        <w:t>2</w:t>
      </w:r>
      <w:r>
        <w:rPr>
          <w:rFonts w:ascii="Times New Roman" w:hAnsi="Times New Roman"/>
          <w:sz w:val="28"/>
        </w:rPr>
        <w:t>) должна быть не менее 2 м.</w:t>
      </w:r>
    </w:p>
    <w:p w14:paraId="20000000">
      <w:pPr>
        <w:pStyle w:val="Style_2"/>
        <w:spacing w:before="220"/>
        <w:ind w:firstLine="540" w:left="0"/>
        <w:jc w:val="both"/>
        <w:rPr>
          <w:rFonts w:ascii="Times New Roman" w:hAnsi="Times New Roman"/>
          <w:sz w:val="28"/>
        </w:rPr>
      </w:pPr>
      <w:r>
        <w:rPr>
          <w:rFonts w:ascii="Times New Roman" w:hAnsi="Times New Roman"/>
          <w:sz w:val="28"/>
        </w:rPr>
        <w:t>В блоке касс как минимум один из контрольных кассовых постов в зале должен быть оборудован в соответствии с требованиями доступности для инвалидов. Ширина прохода около такого кассового поста должна быть не менее 1,1 м.</w:t>
      </w:r>
    </w:p>
    <w:p w14:paraId="21000000">
      <w:pPr>
        <w:pStyle w:val="Style_2"/>
        <w:spacing w:before="220"/>
        <w:ind w:firstLine="540" w:left="0"/>
        <w:jc w:val="both"/>
        <w:rPr>
          <w:rFonts w:ascii="Times New Roman" w:hAnsi="Times New Roman"/>
          <w:sz w:val="28"/>
        </w:rPr>
      </w:pPr>
      <w:r>
        <w:rPr>
          <w:rFonts w:ascii="Times New Roman" w:hAnsi="Times New Roman"/>
          <w:sz w:val="28"/>
        </w:rPr>
        <w:t>Информационный знак доступности кассы должен располагаться на высоте, видной для покупателя на кресле-коляске.</w:t>
      </w:r>
    </w:p>
    <w:p w14:paraId="22000000">
      <w:pPr>
        <w:pStyle w:val="Style_2"/>
        <w:spacing w:before="220"/>
        <w:ind w:firstLine="540" w:left="0"/>
        <w:jc w:val="both"/>
        <w:rPr>
          <w:rFonts w:ascii="Times New Roman" w:hAnsi="Times New Roman"/>
          <w:sz w:val="28"/>
        </w:rPr>
      </w:pPr>
      <w:r>
        <w:rPr>
          <w:rFonts w:ascii="Times New Roman" w:hAnsi="Times New Roman"/>
          <w:sz w:val="28"/>
        </w:rPr>
        <w:t>Для акцентирования внимания покупателей с нарушением зрения на необходимой информации следует активно использовать тактильные (рекомендуемая высота размещения горизонтально или под наклоном на витринах и полках на высоте от 0,7 до 1,4 м от уровня пола), световые указатели, табло и пиктограммы, а также контрастное цветовое решение элементов интерьера в соответствии с требованиями СП 136.13330. Пиктограммам и указателям для выделения отдельных товарных групп в торговом зале рекомендуется присваивать различные лидирующие цвета. Не следует одновременно использовать красный, зеленый, синий и фиолетовый цвета.</w:t>
      </w:r>
    </w:p>
    <w:p w14:paraId="23000000">
      <w:pPr>
        <w:pStyle w:val="Style_2"/>
        <w:spacing w:before="220"/>
        <w:ind w:firstLine="540" w:left="0"/>
        <w:jc w:val="both"/>
        <w:rPr>
          <w:rFonts w:ascii="Times New Roman" w:hAnsi="Times New Roman"/>
          <w:sz w:val="28"/>
        </w:rPr>
      </w:pPr>
      <w:r>
        <w:rPr>
          <w:rFonts w:ascii="Times New Roman" w:hAnsi="Times New Roman"/>
          <w:sz w:val="28"/>
        </w:rPr>
        <w:t>Рекомендуемые сочетания цветов следует принимать по СП 136.13330.</w:t>
      </w:r>
    </w:p>
    <w:p w14:paraId="24000000">
      <w:pPr>
        <w:pStyle w:val="Style_2"/>
        <w:spacing w:before="220"/>
        <w:ind w:firstLine="540" w:left="0"/>
        <w:jc w:val="both"/>
        <w:rPr>
          <w:rFonts w:ascii="Times New Roman" w:hAnsi="Times New Roman"/>
          <w:sz w:val="28"/>
        </w:rPr>
      </w:pPr>
      <w:r>
        <w:rPr>
          <w:rFonts w:ascii="Times New Roman" w:hAnsi="Times New Roman"/>
          <w:sz w:val="28"/>
        </w:rPr>
        <w:t>В удобном для посетителя - инвалида по зрению месте и в доступной для него форме должна располагаться информация (тактильная мнемосхема) о расположении торговых залов и секций, об ассортименте товаров, а также средства связи с администрацией.</w:t>
      </w:r>
    </w:p>
    <w:p w14:paraId="25000000">
      <w:pPr>
        <w:pStyle w:val="Style_2"/>
        <w:ind/>
        <w:jc w:val="both"/>
        <w:rPr>
          <w:rFonts w:ascii="Times New Roman" w:hAnsi="Times New Roman"/>
          <w:sz w:val="28"/>
        </w:rPr>
      </w:pPr>
    </w:p>
    <w:p w14:paraId="26000000">
      <w:pPr>
        <w:pStyle w:val="Style_2"/>
        <w:ind/>
        <w:jc w:val="center"/>
        <w:rPr>
          <w:rFonts w:ascii="Times New Roman" w:hAnsi="Times New Roman"/>
          <w:sz w:val="28"/>
        </w:rPr>
      </w:pPr>
      <w:r>
        <w:rPr>
          <w:rFonts w:ascii="Times New Roman" w:hAnsi="Times New Roman"/>
          <w:sz w:val="28"/>
        </w:rPr>
        <w:t>4. Оснащение помещений объектов общественного питания</w:t>
      </w:r>
    </w:p>
    <w:p w14:paraId="27000000">
      <w:pPr>
        <w:pStyle w:val="Style_2"/>
        <w:ind/>
        <w:jc w:val="center"/>
        <w:rPr>
          <w:rFonts w:ascii="Times New Roman" w:hAnsi="Times New Roman"/>
          <w:sz w:val="28"/>
        </w:rPr>
      </w:pPr>
      <w:r>
        <w:rPr>
          <w:rFonts w:ascii="Times New Roman" w:hAnsi="Times New Roman"/>
          <w:sz w:val="28"/>
        </w:rPr>
        <w:t>и бытового обслуживания приспособлением и оборудованием</w:t>
      </w:r>
    </w:p>
    <w:p w14:paraId="28000000">
      <w:pPr>
        <w:pStyle w:val="Style_2"/>
        <w:ind/>
        <w:jc w:val="center"/>
        <w:rPr>
          <w:rFonts w:ascii="Times New Roman" w:hAnsi="Times New Roman"/>
          <w:sz w:val="28"/>
        </w:rPr>
      </w:pPr>
      <w:r>
        <w:rPr>
          <w:rFonts w:ascii="Times New Roman" w:hAnsi="Times New Roman"/>
          <w:sz w:val="28"/>
        </w:rPr>
        <w:t>для пользования инвалидами и другими маломобильными</w:t>
      </w:r>
    </w:p>
    <w:p w14:paraId="29000000">
      <w:pPr>
        <w:pStyle w:val="Style_2"/>
        <w:ind/>
        <w:jc w:val="center"/>
        <w:rPr>
          <w:rFonts w:ascii="Times New Roman" w:hAnsi="Times New Roman"/>
          <w:sz w:val="28"/>
        </w:rPr>
      </w:pPr>
      <w:r>
        <w:rPr>
          <w:rFonts w:ascii="Times New Roman" w:hAnsi="Times New Roman"/>
          <w:sz w:val="28"/>
        </w:rPr>
        <w:t>гражданами</w:t>
      </w:r>
    </w:p>
    <w:p w14:paraId="2A000000">
      <w:pPr>
        <w:pStyle w:val="Style_2"/>
        <w:ind/>
        <w:jc w:val="both"/>
        <w:rPr>
          <w:rFonts w:ascii="Times New Roman" w:hAnsi="Times New Roman"/>
          <w:sz w:val="28"/>
        </w:rPr>
      </w:pPr>
    </w:p>
    <w:p w14:paraId="2B000000">
      <w:pPr>
        <w:pStyle w:val="Style_2"/>
        <w:ind/>
        <w:jc w:val="center"/>
        <w:rPr>
          <w:rFonts w:ascii="Times New Roman" w:hAnsi="Times New Roman"/>
          <w:sz w:val="28"/>
        </w:rPr>
      </w:pPr>
      <w:r>
        <w:rPr>
          <w:rFonts w:ascii="Times New Roman" w:hAnsi="Times New Roman"/>
          <w:sz w:val="28"/>
        </w:rPr>
        <w:t>Предприятия общественного питания</w:t>
      </w:r>
    </w:p>
    <w:p w14:paraId="2C000000">
      <w:pPr>
        <w:pStyle w:val="Style_2"/>
        <w:ind/>
        <w:jc w:val="both"/>
        <w:rPr>
          <w:rFonts w:ascii="Times New Roman" w:hAnsi="Times New Roman"/>
          <w:sz w:val="28"/>
        </w:rPr>
      </w:pPr>
    </w:p>
    <w:p w14:paraId="2D000000">
      <w:pPr>
        <w:pStyle w:val="Style_2"/>
        <w:ind w:firstLine="540" w:left="0"/>
        <w:jc w:val="both"/>
        <w:rPr>
          <w:rFonts w:ascii="Times New Roman" w:hAnsi="Times New Roman"/>
          <w:sz w:val="28"/>
        </w:rPr>
      </w:pPr>
      <w:r>
        <w:rPr>
          <w:rFonts w:ascii="Times New Roman" w:hAnsi="Times New Roman"/>
          <w:sz w:val="28"/>
        </w:rPr>
        <w:t>В предприятиях питания и их зонах, предназначенных для специализированного обслуживания маломобильных посетителей, рекомендуется предусматривать обслуживание официантами.</w:t>
      </w:r>
    </w:p>
    <w:p w14:paraId="2E000000">
      <w:pPr>
        <w:pStyle w:val="Style_2"/>
        <w:spacing w:before="220"/>
        <w:ind w:firstLine="540" w:left="0"/>
        <w:jc w:val="both"/>
        <w:rPr>
          <w:rFonts w:ascii="Times New Roman" w:hAnsi="Times New Roman"/>
          <w:sz w:val="28"/>
        </w:rPr>
      </w:pPr>
      <w:r>
        <w:rPr>
          <w:rFonts w:ascii="Times New Roman" w:hAnsi="Times New Roman"/>
          <w:sz w:val="28"/>
        </w:rPr>
        <w:t>При отсутствии в здании пассажирских лифтов обеденные залы рекомендуется размещать на первом этаже. Оборудование мест, приспособленных для маломобильных посетителей, размещенных на основном этаже (преимущественно первом), должно соответствовать аналогичному оборудованию мест, размещенных на недоступных для инвалидов этажах (уровнях).</w:t>
      </w:r>
    </w:p>
    <w:p w14:paraId="2F000000">
      <w:pPr>
        <w:pStyle w:val="Style_2"/>
        <w:spacing w:before="220"/>
        <w:ind w:firstLine="540" w:left="0"/>
        <w:jc w:val="both"/>
        <w:rPr>
          <w:rFonts w:ascii="Times New Roman" w:hAnsi="Times New Roman"/>
          <w:sz w:val="28"/>
        </w:rPr>
      </w:pPr>
      <w:r>
        <w:rPr>
          <w:rFonts w:ascii="Times New Roman" w:hAnsi="Times New Roman"/>
          <w:sz w:val="28"/>
        </w:rPr>
        <w:t xml:space="preserve">В помещениях общественного питания расстановка мебели и оборудования должна обеспечивать беспрепятственное движение инвалидов. Ширина прохода около прилавков для сервирования блюд должна быть не менее 0,9 м. Для обеспечения свободного </w:t>
      </w:r>
      <w:r>
        <w:rPr>
          <w:rFonts w:ascii="Times New Roman" w:hAnsi="Times New Roman"/>
          <w:sz w:val="28"/>
        </w:rPr>
        <w:t>огибания</w:t>
      </w:r>
      <w:r>
        <w:rPr>
          <w:rFonts w:ascii="Times New Roman" w:hAnsi="Times New Roman"/>
          <w:sz w:val="28"/>
        </w:rPr>
        <w:t xml:space="preserve"> при проходе кресла-коляски ширину прохода рекомендуется увеличивать до 1,1 м.</w:t>
      </w:r>
    </w:p>
    <w:p w14:paraId="30000000">
      <w:pPr>
        <w:pStyle w:val="Style_2"/>
        <w:spacing w:before="220"/>
        <w:ind w:firstLine="540" w:left="0"/>
        <w:jc w:val="both"/>
        <w:rPr>
          <w:rFonts w:ascii="Times New Roman" w:hAnsi="Times New Roman"/>
          <w:sz w:val="28"/>
        </w:rPr>
      </w:pPr>
      <w:r>
        <w:rPr>
          <w:rFonts w:ascii="Times New Roman" w:hAnsi="Times New Roman"/>
          <w:sz w:val="28"/>
        </w:rPr>
        <w:t>В буфетах и закусочных должно быть не менее одного стола высотой 0,75 - 0,85 м.</w:t>
      </w:r>
    </w:p>
    <w:p w14:paraId="31000000">
      <w:pPr>
        <w:pStyle w:val="Style_2"/>
        <w:spacing w:before="220"/>
        <w:ind w:firstLine="540" w:left="0"/>
        <w:jc w:val="both"/>
        <w:rPr>
          <w:rFonts w:ascii="Times New Roman" w:hAnsi="Times New Roman"/>
          <w:sz w:val="28"/>
        </w:rPr>
      </w:pPr>
      <w:r>
        <w:rPr>
          <w:rFonts w:ascii="Times New Roman" w:hAnsi="Times New Roman"/>
          <w:sz w:val="28"/>
        </w:rPr>
        <w:t>Ширина прохода между столами в ресторане должна быть не менее 1,2 м.</w:t>
      </w:r>
    </w:p>
    <w:p w14:paraId="32000000">
      <w:pPr>
        <w:pStyle w:val="Style_2"/>
        <w:spacing w:before="220"/>
        <w:ind w:firstLine="540" w:left="0"/>
        <w:jc w:val="both"/>
        <w:rPr>
          <w:rFonts w:ascii="Times New Roman" w:hAnsi="Times New Roman"/>
          <w:sz w:val="28"/>
        </w:rPr>
      </w:pPr>
      <w:r>
        <w:rPr>
          <w:rFonts w:ascii="Times New Roman" w:hAnsi="Times New Roman"/>
          <w:sz w:val="28"/>
        </w:rPr>
        <w:t>Секция стойки бара для инвалидов на кресле-коляске должна иметь ширину столешницы 1,6 м, высоту от пола не более 0,85 м и свободное пространство для ног 0,75 м.</w:t>
      </w:r>
    </w:p>
    <w:p w14:paraId="33000000">
      <w:pPr>
        <w:pStyle w:val="Style_2"/>
        <w:spacing w:before="220"/>
        <w:ind w:firstLine="540" w:left="0"/>
        <w:jc w:val="both"/>
        <w:rPr>
          <w:rFonts w:ascii="Times New Roman" w:hAnsi="Times New Roman"/>
          <w:sz w:val="28"/>
        </w:rPr>
      </w:pPr>
      <w:r>
        <w:rPr>
          <w:rFonts w:ascii="Times New Roman" w:hAnsi="Times New Roman"/>
          <w:sz w:val="28"/>
        </w:rPr>
        <w:t>В предприятиях питания рекомендуется отводить до 5% мест, но не менее одного, для лиц, передвигающихся на креслах-колясках и с нарушением зрения, с площадью не менее 3 м</w:t>
      </w:r>
      <w:r>
        <w:rPr>
          <w:rFonts w:ascii="Times New Roman" w:hAnsi="Times New Roman"/>
          <w:sz w:val="28"/>
          <w:vertAlign w:val="superscript"/>
        </w:rPr>
        <w:t>2</w:t>
      </w:r>
      <w:r>
        <w:rPr>
          <w:rFonts w:ascii="Times New Roman" w:hAnsi="Times New Roman"/>
          <w:sz w:val="28"/>
        </w:rPr>
        <w:t xml:space="preserve"> на каждое место.</w:t>
      </w:r>
    </w:p>
    <w:p w14:paraId="34000000">
      <w:pPr>
        <w:pStyle w:val="Style_2"/>
        <w:spacing w:before="220"/>
        <w:ind w:firstLine="540" w:left="0"/>
        <w:jc w:val="both"/>
        <w:rPr>
          <w:rFonts w:ascii="Times New Roman" w:hAnsi="Times New Roman"/>
          <w:sz w:val="28"/>
        </w:rPr>
      </w:pPr>
      <w:r>
        <w:rPr>
          <w:rFonts w:ascii="Times New Roman" w:hAnsi="Times New Roman"/>
          <w:sz w:val="28"/>
        </w:rPr>
        <w:t xml:space="preserve">В помещениях общественного питания должно быть 5% столов, но не менее одного обеденного стола высотой 0,65 - 0,8 м. Такие столы должны иметь необходимую ширину между ножками и необходимую глубину столешницы в соответствии с требованиями СП 136.13330. Стойки баров и кафетериев должны иметь пониженную часть высотой от пола не более 0,8 м </w:t>
      </w:r>
      <w:r>
        <w:rPr>
          <w:rFonts w:ascii="Times New Roman" w:hAnsi="Times New Roman"/>
          <w:sz w:val="28"/>
        </w:rPr>
        <w:t>и шириной 0,8 - 1,0 м для обслуживания инвалида на кресле-коляске.</w:t>
      </w:r>
    </w:p>
    <w:p w14:paraId="35000000">
      <w:pPr>
        <w:pStyle w:val="Style_2"/>
        <w:spacing w:before="220"/>
        <w:ind w:firstLine="540" w:left="0"/>
        <w:jc w:val="both"/>
        <w:rPr>
          <w:rFonts w:ascii="Times New Roman" w:hAnsi="Times New Roman"/>
          <w:sz w:val="28"/>
        </w:rPr>
      </w:pPr>
      <w:r>
        <w:rPr>
          <w:rFonts w:ascii="Times New Roman" w:hAnsi="Times New Roman"/>
          <w:sz w:val="28"/>
        </w:rPr>
        <w:t>В предприятиях питания, связанных с длительным пребыванием посетителей (рестораны, столовые), гардеробные стойки в местах обслуживания маломобильных посетителей следует устраивать в соответствии с рекомендациями СП 136.13330.</w:t>
      </w:r>
    </w:p>
    <w:p w14:paraId="36000000">
      <w:pPr>
        <w:pStyle w:val="Style_2"/>
        <w:spacing w:before="220"/>
        <w:ind w:firstLine="540" w:left="0"/>
        <w:jc w:val="both"/>
        <w:rPr>
          <w:rFonts w:ascii="Times New Roman" w:hAnsi="Times New Roman"/>
          <w:sz w:val="28"/>
        </w:rPr>
      </w:pPr>
      <w:r>
        <w:rPr>
          <w:rFonts w:ascii="Times New Roman" w:hAnsi="Times New Roman"/>
          <w:sz w:val="28"/>
        </w:rPr>
        <w:t>Вестибюли, холлы, аванзалы, уборные, умывальные и другие вспомогательные помещения, доступные для маломобильных посетителей, следует проектировать с учетом требований СП 59.13330 и рекомендациями СП 136.13330.</w:t>
      </w:r>
    </w:p>
    <w:p w14:paraId="37000000">
      <w:pPr>
        <w:pStyle w:val="Style_2"/>
        <w:spacing w:before="220"/>
        <w:ind w:firstLine="540" w:left="0"/>
        <w:jc w:val="both"/>
        <w:rPr>
          <w:rFonts w:ascii="Times New Roman" w:hAnsi="Times New Roman"/>
          <w:sz w:val="28"/>
        </w:rPr>
      </w:pPr>
      <w:r>
        <w:rPr>
          <w:rFonts w:ascii="Times New Roman" w:hAnsi="Times New Roman"/>
          <w:sz w:val="28"/>
        </w:rPr>
        <w:t>Информация о предприятии (тип, класс, форма обслуживания, доступность для маломобильных посетителей), а также меню должны быть легко определяемы и доступны для инвалидов на креслах-колясках и лиц с нарушением зрения. Меню должно иметь контрастные надписи простым шрифтом и шрифтом Брайля. В качестве альтернативы может использоваться меню предприятия в версии для слабовидящих, доступной в сети Интернет.</w:t>
      </w:r>
    </w:p>
    <w:p w14:paraId="38000000">
      <w:pPr>
        <w:pStyle w:val="Style_2"/>
        <w:ind/>
        <w:jc w:val="both"/>
        <w:rPr>
          <w:rFonts w:ascii="Times New Roman" w:hAnsi="Times New Roman"/>
          <w:sz w:val="28"/>
        </w:rPr>
      </w:pPr>
    </w:p>
    <w:p w14:paraId="39000000">
      <w:pPr>
        <w:pStyle w:val="Style_2"/>
        <w:ind/>
        <w:jc w:val="center"/>
        <w:rPr>
          <w:rFonts w:ascii="Times New Roman" w:hAnsi="Times New Roman"/>
          <w:sz w:val="28"/>
        </w:rPr>
      </w:pPr>
      <w:r>
        <w:rPr>
          <w:rFonts w:ascii="Times New Roman" w:hAnsi="Times New Roman"/>
          <w:sz w:val="28"/>
        </w:rPr>
        <w:t>Предприятия бытового обслуживания</w:t>
      </w:r>
    </w:p>
    <w:p w14:paraId="3A000000">
      <w:pPr>
        <w:pStyle w:val="Style_2"/>
        <w:ind/>
        <w:jc w:val="both"/>
        <w:rPr>
          <w:rFonts w:ascii="Times New Roman" w:hAnsi="Times New Roman"/>
          <w:sz w:val="28"/>
        </w:rPr>
      </w:pPr>
    </w:p>
    <w:p w14:paraId="3B000000">
      <w:pPr>
        <w:pStyle w:val="Style_2"/>
        <w:ind w:firstLine="540" w:left="0"/>
        <w:jc w:val="both"/>
        <w:rPr>
          <w:rFonts w:ascii="Times New Roman" w:hAnsi="Times New Roman"/>
          <w:sz w:val="28"/>
        </w:rPr>
      </w:pPr>
      <w:r>
        <w:rPr>
          <w:rFonts w:ascii="Times New Roman" w:hAnsi="Times New Roman"/>
          <w:sz w:val="28"/>
        </w:rPr>
        <w:t>Если предприятия бытового обслуживания (приемные пункты, дома мод, ателье, мастерские, парикмахерские, предприятия стирки, химчистки и т.д.) не включены в систему целевого оказания услуги на дому, то для нужд маломобильных групп населения следует проектировать (приспосабливать для использования) помещения для посетителей в зданиях предприятий приближенного бытового обслуживания и комплексы бытового обслуживания, включающие широкий перечень услуг, а также пункты проката предметов домашнего быта.</w:t>
      </w:r>
    </w:p>
    <w:p w14:paraId="3C000000">
      <w:pPr>
        <w:pStyle w:val="Style_2"/>
        <w:spacing w:before="220"/>
        <w:ind w:firstLine="540" w:left="0"/>
        <w:jc w:val="both"/>
        <w:rPr>
          <w:rFonts w:ascii="Times New Roman" w:hAnsi="Times New Roman"/>
          <w:sz w:val="28"/>
        </w:rPr>
      </w:pPr>
      <w:r>
        <w:rPr>
          <w:rFonts w:ascii="Times New Roman" w:hAnsi="Times New Roman"/>
          <w:sz w:val="28"/>
        </w:rPr>
        <w:t>Планировка кабины для переодевания, примерочной и т.п. зон и помещений должны иметь свободное пространство размерами не менее 1,5 x 1,5 м.".</w:t>
      </w:r>
    </w:p>
    <w:p w14:paraId="3D000000">
      <w:pPr>
        <w:pStyle w:val="Style_2"/>
        <w:spacing w:before="220"/>
        <w:ind w:firstLine="540" w:left="0"/>
        <w:jc w:val="both"/>
        <w:rPr>
          <w:rFonts w:ascii="Times New Roman" w:hAnsi="Times New Roman"/>
          <w:sz w:val="28"/>
        </w:rPr>
      </w:pPr>
      <w:r>
        <w:rPr>
          <w:rFonts w:ascii="Times New Roman" w:hAnsi="Times New Roman"/>
          <w:sz w:val="28"/>
        </w:rPr>
        <w:t>3. Отделу контроля антитеррористической защищенности торговых объектов и организационной работы департамента (</w:t>
      </w:r>
      <w:r>
        <w:rPr>
          <w:rFonts w:ascii="Times New Roman" w:hAnsi="Times New Roman"/>
          <w:sz w:val="28"/>
        </w:rPr>
        <w:t>Монин</w:t>
      </w:r>
      <w:r>
        <w:rPr>
          <w:rFonts w:ascii="Times New Roman" w:hAnsi="Times New Roman"/>
          <w:sz w:val="28"/>
        </w:rPr>
        <w:t>) обеспечить размещение (опубликование) настоящего приказа на официальном сайте администрации Краснодарского края в информационно-телекоммуникационной сети "Интернет", а также на официальном сайте департамента потребительской сферы и регулирования рынка алкоголя Краснодарского края.</w:t>
      </w:r>
    </w:p>
    <w:p w14:paraId="3E000000">
      <w:pPr>
        <w:pStyle w:val="Style_2"/>
        <w:spacing w:before="220"/>
        <w:ind w:firstLine="540" w:left="0"/>
        <w:jc w:val="both"/>
        <w:rPr>
          <w:rFonts w:ascii="Times New Roman" w:hAnsi="Times New Roman"/>
          <w:sz w:val="28"/>
        </w:rPr>
      </w:pPr>
      <w:r>
        <w:rPr>
          <w:rFonts w:ascii="Times New Roman" w:hAnsi="Times New Roman"/>
          <w:sz w:val="28"/>
        </w:rPr>
        <w:t>4. Рекомендовать органам местного самоуправления муниципальных образований Краснодарского края довести настоящий приказ до сведения организаций и индивидуальных предпринимателей, предоставляющих услуги розничной торговли, общественного питания и бытового обслуживания.</w:t>
      </w:r>
    </w:p>
    <w:p w14:paraId="3F000000">
      <w:pPr>
        <w:pStyle w:val="Style_2"/>
        <w:spacing w:before="220"/>
        <w:ind w:firstLine="540" w:left="0"/>
        <w:jc w:val="both"/>
        <w:rPr>
          <w:rFonts w:ascii="Times New Roman" w:hAnsi="Times New Roman"/>
          <w:sz w:val="28"/>
        </w:rPr>
      </w:pPr>
      <w:r>
        <w:rPr>
          <w:rFonts w:ascii="Times New Roman" w:hAnsi="Times New Roman"/>
          <w:sz w:val="28"/>
        </w:rPr>
        <w:t>5. Контроль за выполнением настоящего приказа оставляю за собой.</w:t>
      </w:r>
    </w:p>
    <w:p w14:paraId="40000000">
      <w:pPr>
        <w:pStyle w:val="Style_2"/>
        <w:spacing w:before="220"/>
        <w:ind w:firstLine="540" w:left="0"/>
        <w:jc w:val="both"/>
        <w:rPr>
          <w:rFonts w:ascii="Times New Roman" w:hAnsi="Times New Roman"/>
          <w:sz w:val="28"/>
        </w:rPr>
      </w:pPr>
      <w:r>
        <w:rPr>
          <w:rFonts w:ascii="Times New Roman" w:hAnsi="Times New Roman"/>
          <w:sz w:val="28"/>
        </w:rPr>
        <w:t>6. Приказ вступает в силу на следующий день после его официального опубликования.</w:t>
      </w:r>
    </w:p>
    <w:p w14:paraId="41000000">
      <w:pPr>
        <w:pStyle w:val="Style_2"/>
        <w:ind/>
        <w:jc w:val="both"/>
        <w:rPr>
          <w:rFonts w:ascii="Times New Roman" w:hAnsi="Times New Roman"/>
          <w:sz w:val="28"/>
        </w:rPr>
      </w:pPr>
    </w:p>
    <w:p w14:paraId="42000000">
      <w:pPr>
        <w:pStyle w:val="Style_2"/>
        <w:ind/>
        <w:jc w:val="right"/>
        <w:rPr>
          <w:rFonts w:ascii="Times New Roman" w:hAnsi="Times New Roman"/>
          <w:sz w:val="28"/>
        </w:rPr>
      </w:pPr>
      <w:r>
        <w:rPr>
          <w:rFonts w:ascii="Times New Roman" w:hAnsi="Times New Roman"/>
          <w:sz w:val="28"/>
        </w:rPr>
        <w:t>Руководитель департамента</w:t>
      </w:r>
    </w:p>
    <w:p w14:paraId="43000000">
      <w:pPr>
        <w:pStyle w:val="Style_2"/>
        <w:ind/>
        <w:jc w:val="right"/>
        <w:rPr>
          <w:rFonts w:ascii="Times New Roman" w:hAnsi="Times New Roman"/>
          <w:sz w:val="28"/>
        </w:rPr>
      </w:pPr>
      <w:r>
        <w:rPr>
          <w:rFonts w:ascii="Times New Roman" w:hAnsi="Times New Roman"/>
          <w:sz w:val="28"/>
        </w:rPr>
        <w:t>Р.С.КУРИННЫЙ</w:t>
      </w:r>
    </w:p>
    <w:p w14:paraId="44000000">
      <w:pPr>
        <w:pStyle w:val="Style_2"/>
        <w:spacing w:after="100" w:before="100"/>
        <w:ind/>
        <w:jc w:val="both"/>
        <w:rPr>
          <w:rFonts w:ascii="Times New Roman" w:hAnsi="Times New Roman"/>
          <w:sz w:val="28"/>
        </w:rPr>
      </w:pPr>
    </w:p>
    <w:p w14:paraId="45000000">
      <w:pPr>
        <w:rPr>
          <w:rFonts w:ascii="Times New Roman" w:hAnsi="Times New Roman"/>
          <w:sz w:val="28"/>
        </w:rPr>
      </w:pPr>
    </w:p>
    <w:sectPr>
      <w:pgSz w:h="16838" w:orient="portrait" w:w="11906"/>
      <w:pgMar w:bottom="680"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ConsPlusTitlePage"/>
    <w:link w:val="Style_5_ch"/>
    <w:pPr>
      <w:widowControl w:val="0"/>
      <w:spacing w:after="0" w:line="240" w:lineRule="auto"/>
      <w:ind/>
    </w:pPr>
    <w:rPr>
      <w:rFonts w:ascii="Tahoma" w:hAnsi="Tahoma"/>
      <w:sz w:val="20"/>
    </w:rPr>
  </w:style>
  <w:style w:styleId="Style_5_ch" w:type="character">
    <w:name w:val="ConsPlusTitlePage"/>
    <w:link w:val="Style_5"/>
    <w:rPr>
      <w:rFonts w:ascii="Tahoma" w:hAnsi="Tahoma"/>
      <w:sz w:val="20"/>
    </w:rPr>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3"/>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3"/>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10" w:type="paragraph">
    <w:name w:val="Default Paragraph Font"/>
    <w:link w:val="Style_10_ch"/>
  </w:style>
  <w:style w:styleId="Style_10_ch" w:type="character">
    <w:name w:val="Default Paragraph Font"/>
    <w:link w:val="Style_10"/>
  </w:style>
  <w:style w:styleId="Style_11" w:type="paragraph">
    <w:name w:val="toc 3"/>
    <w:next w:val="Style_3"/>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3"/>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3"/>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3"/>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 w:type="paragraph">
    <w:name w:val="ConsPlusTitle"/>
    <w:link w:val="Style_1_ch"/>
    <w:pPr>
      <w:widowControl w:val="0"/>
      <w:spacing w:after="0" w:line="240" w:lineRule="auto"/>
      <w:ind/>
    </w:pPr>
    <w:rPr>
      <w:rFonts w:ascii="Calibri" w:hAnsi="Calibri"/>
      <w:b w:val="1"/>
    </w:rPr>
  </w:style>
  <w:style w:styleId="Style_1_ch" w:type="character">
    <w:name w:val="ConsPlusTitle"/>
    <w:link w:val="Style_1"/>
    <w:rPr>
      <w:rFonts w:ascii="Calibri" w:hAnsi="Calibri"/>
      <w:b w:val="1"/>
    </w:rPr>
  </w:style>
  <w:style w:styleId="Style_18" w:type="paragraph">
    <w:name w:val="toc 9"/>
    <w:next w:val="Style_3"/>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3"/>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 w:type="paragraph">
    <w:name w:val="ConsPlusNormal"/>
    <w:link w:val="Style_2_ch"/>
    <w:pPr>
      <w:widowControl w:val="0"/>
      <w:spacing w:after="0" w:line="240" w:lineRule="auto"/>
      <w:ind/>
    </w:pPr>
    <w:rPr>
      <w:rFonts w:ascii="Calibri" w:hAnsi="Calibri"/>
    </w:rPr>
  </w:style>
  <w:style w:styleId="Style_2_ch" w:type="character">
    <w:name w:val="ConsPlusNormal"/>
    <w:link w:val="Style_2"/>
    <w:rPr>
      <w:rFonts w:ascii="Calibri" w:hAnsi="Calibri"/>
    </w:rPr>
  </w:style>
  <w:style w:styleId="Style_20" w:type="paragraph">
    <w:name w:val="toc 5"/>
    <w:next w:val="Style_3"/>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Subtitle"/>
    <w:next w:val="Style_3"/>
    <w:link w:val="Style_21_ch"/>
    <w:uiPriority w:val="11"/>
    <w:qFormat/>
    <w:pPr>
      <w:ind/>
      <w:jc w:val="both"/>
    </w:pPr>
    <w:rPr>
      <w:rFonts w:ascii="XO Thames" w:hAnsi="XO Thames"/>
      <w:i w:val="1"/>
      <w:sz w:val="24"/>
    </w:rPr>
  </w:style>
  <w:style w:styleId="Style_21_ch" w:type="character">
    <w:name w:val="Subtitle"/>
    <w:link w:val="Style_21"/>
    <w:rPr>
      <w:rFonts w:ascii="XO Thames" w:hAnsi="XO Thames"/>
      <w:i w:val="1"/>
      <w:sz w:val="24"/>
    </w:rPr>
  </w:style>
  <w:style w:styleId="Style_22" w:type="paragraph">
    <w:name w:val="Title"/>
    <w:next w:val="Style_3"/>
    <w:link w:val="Style_22_ch"/>
    <w:uiPriority w:val="10"/>
    <w:qFormat/>
    <w:pPr>
      <w:spacing w:after="567" w:before="567"/>
      <w:ind/>
      <w:jc w:val="center"/>
    </w:pPr>
    <w:rPr>
      <w:rFonts w:ascii="XO Thames" w:hAnsi="XO Thames"/>
      <w:b w:val="1"/>
      <w:caps w:val="1"/>
      <w:sz w:val="40"/>
    </w:rPr>
  </w:style>
  <w:style w:styleId="Style_22_ch" w:type="character">
    <w:name w:val="Title"/>
    <w:link w:val="Style_22"/>
    <w:rPr>
      <w:rFonts w:ascii="XO Thames" w:hAnsi="XO Thames"/>
      <w:b w:val="1"/>
      <w:caps w:val="1"/>
      <w:sz w:val="40"/>
    </w:rPr>
  </w:style>
  <w:style w:styleId="Style_23" w:type="paragraph">
    <w:name w:val="heading 4"/>
    <w:next w:val="Style_3"/>
    <w:link w:val="Style_23_ch"/>
    <w:uiPriority w:val="9"/>
    <w:qFormat/>
    <w:pPr>
      <w:spacing w:after="120" w:before="120"/>
      <w:ind/>
      <w:jc w:val="both"/>
      <w:outlineLvl w:val="3"/>
    </w:pPr>
    <w:rPr>
      <w:rFonts w:ascii="XO Thames" w:hAnsi="XO Thames"/>
      <w:b w:val="1"/>
      <w:sz w:val="24"/>
    </w:rPr>
  </w:style>
  <w:style w:styleId="Style_23_ch" w:type="character">
    <w:name w:val="heading 4"/>
    <w:link w:val="Style_23"/>
    <w:rPr>
      <w:rFonts w:ascii="XO Thames" w:hAnsi="XO Thames"/>
      <w:b w:val="1"/>
      <w:sz w:val="24"/>
    </w:rPr>
  </w:style>
  <w:style w:styleId="Style_24" w:type="paragraph">
    <w:name w:val="heading 2"/>
    <w:next w:val="Style_3"/>
    <w:link w:val="Style_24_ch"/>
    <w:uiPriority w:val="9"/>
    <w:qFormat/>
    <w:pPr>
      <w:spacing w:after="120" w:before="120"/>
      <w:ind/>
      <w:jc w:val="both"/>
      <w:outlineLvl w:val="1"/>
    </w:pPr>
    <w:rPr>
      <w:rFonts w:ascii="XO Thames" w:hAnsi="XO Thames"/>
      <w:b w:val="1"/>
      <w:sz w:val="28"/>
    </w:rPr>
  </w:style>
  <w:style w:styleId="Style_24_ch" w:type="character">
    <w:name w:val="heading 2"/>
    <w:link w:val="Style_24"/>
    <w:rPr>
      <w:rFonts w:ascii="XO Thames" w:hAnsi="XO Thames"/>
      <w:b w:val="1"/>
      <w:sz w:val="28"/>
    </w:rPr>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2023-02-03T09:00:16Z</dcterms:modified>
</cp:coreProperties>
</file>